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hint="eastAsia" w:ascii="宋体" w:hAnsi="宋体" w:eastAsia="宋体"/>
          <w:b/>
          <w:sz w:val="36"/>
          <w:szCs w:val="36"/>
          <w:lang w:val="en-US" w:eastAsia="zh-CN"/>
        </w:rPr>
      </w:pPr>
      <w:r>
        <w:rPr>
          <w:rFonts w:hint="eastAsia" w:ascii="宋体" w:hAnsi="宋体"/>
          <w:b/>
          <w:sz w:val="36"/>
          <w:szCs w:val="36"/>
          <w:lang w:val="en-US" w:eastAsia="zh-CN"/>
        </w:rPr>
        <w:t>(</w:t>
      </w:r>
      <w:r>
        <w:rPr>
          <w:rFonts w:hint="eastAsia" w:ascii="宋体" w:hAnsi="宋体"/>
          <w:b/>
          <w:sz w:val="36"/>
          <w:szCs w:val="36"/>
        </w:rPr>
        <w:t>国有企业退休人员社会化管理费用</w:t>
      </w:r>
      <w:r>
        <w:rPr>
          <w:rFonts w:hint="eastAsia" w:ascii="宋体" w:hAnsi="宋体"/>
          <w:b/>
          <w:sz w:val="36"/>
          <w:szCs w:val="36"/>
          <w:lang w:val="en-US" w:eastAsia="zh-CN"/>
        </w:rPr>
        <w:t>)</w:t>
      </w:r>
    </w:p>
    <w:p>
      <w:pPr>
        <w:spacing w:line="360" w:lineRule="auto"/>
        <w:ind w:firstLine="640" w:firstLineChars="200"/>
        <w:rPr>
          <w:rFonts w:hint="eastAsia" w:ascii="黑体" w:eastAsia="黑体"/>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（一）单位概况</w:t>
      </w:r>
    </w:p>
    <w:p>
      <w:pPr>
        <w:spacing w:line="560"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乳源瑶族自治县人力资源和社会保障局是正科级行政单位。内设办公室、就业促进股、事业单位人事管理股（人事考试办公室）、工资福利股、社会保险管理股、劳动关系股、劳动保障监察综合执法大队、</w:t>
      </w:r>
      <w:r>
        <w:rPr>
          <w:rFonts w:hint="eastAsia" w:ascii="仿宋_GB2312" w:hAnsi="仿宋_GB2312" w:eastAsia="仿宋_GB2312" w:cs="仿宋_GB2312"/>
          <w:sz w:val="32"/>
          <w:szCs w:val="32"/>
          <w:lang w:eastAsia="zh-CN"/>
        </w:rPr>
        <w:t>职业建设股</w:t>
      </w:r>
      <w:r>
        <w:rPr>
          <w:rFonts w:hint="eastAsia" w:ascii="仿宋_GB2312" w:hAnsi="仿宋_GB2312" w:eastAsia="仿宋_GB2312" w:cs="仿宋_GB2312"/>
          <w:sz w:val="32"/>
          <w:szCs w:val="32"/>
        </w:rPr>
        <w:t>。</w:t>
      </w:r>
      <w:r>
        <w:rPr>
          <w:rFonts w:hint="eastAsia" w:ascii="仿宋" w:hAnsi="仿宋" w:eastAsia="仿宋" w:cs="方正仿宋简体"/>
          <w:sz w:val="32"/>
          <w:szCs w:val="32"/>
        </w:rPr>
        <w:t>局属事业单位有</w:t>
      </w:r>
      <w:r>
        <w:rPr>
          <w:rFonts w:hint="eastAsia" w:ascii="仿宋" w:hAnsi="仿宋" w:eastAsia="仿宋" w:cs="方正仿宋简体"/>
          <w:sz w:val="32"/>
          <w:szCs w:val="32"/>
          <w:lang w:val="en-US" w:eastAsia="zh-CN"/>
        </w:rPr>
        <w:t>4</w:t>
      </w:r>
      <w:r>
        <w:rPr>
          <w:rFonts w:hint="eastAsia" w:ascii="仿宋" w:hAnsi="仿宋" w:eastAsia="仿宋" w:cs="方正仿宋简体"/>
          <w:sz w:val="32"/>
          <w:szCs w:val="32"/>
        </w:rPr>
        <w:t>个，分别是乳源瑶族自治县自治县人才管理工作办公室、乳源瑶族自治县劳动人事争议仲裁院、乳源瑶族自治县就业服务管理局</w:t>
      </w:r>
      <w:r>
        <w:rPr>
          <w:rFonts w:hint="eastAsia" w:ascii="仿宋" w:hAnsi="仿宋" w:eastAsia="仿宋" w:cs="方正仿宋简体"/>
          <w:sz w:val="32"/>
          <w:szCs w:val="32"/>
          <w:lang w:eastAsia="zh-CN"/>
        </w:rPr>
        <w:t>和</w:t>
      </w:r>
      <w:r>
        <w:rPr>
          <w:rFonts w:hint="eastAsia" w:ascii="仿宋" w:hAnsi="仿宋" w:eastAsia="仿宋" w:cs="方正仿宋简体"/>
          <w:sz w:val="32"/>
          <w:szCs w:val="32"/>
        </w:rPr>
        <w:t>乳源瑶族自治县</w:t>
      </w:r>
      <w:r>
        <w:rPr>
          <w:rFonts w:hint="eastAsia" w:ascii="仿宋" w:hAnsi="仿宋" w:eastAsia="仿宋" w:cs="方正仿宋简体"/>
          <w:sz w:val="32"/>
          <w:szCs w:val="32"/>
          <w:lang w:eastAsia="zh-CN"/>
        </w:rPr>
        <w:t>职业技能服务中心（</w:t>
      </w:r>
      <w:r>
        <w:rPr>
          <w:rFonts w:hint="eastAsia" w:ascii="仿宋" w:hAnsi="仿宋" w:eastAsia="仿宋" w:cs="方正仿宋简体"/>
          <w:sz w:val="32"/>
          <w:szCs w:val="32"/>
          <w:lang w:val="en-US" w:eastAsia="zh-CN"/>
        </w:rPr>
        <w:t>2022年12月根据乳机编[2022]22号新设立单位</w:t>
      </w:r>
      <w:r>
        <w:rPr>
          <w:rFonts w:hint="eastAsia" w:ascii="仿宋" w:hAnsi="仿宋" w:eastAsia="仿宋" w:cs="方正仿宋简体"/>
          <w:sz w:val="32"/>
          <w:szCs w:val="32"/>
          <w:lang w:eastAsia="zh-CN"/>
        </w:rPr>
        <w:t>）</w:t>
      </w:r>
      <w:r>
        <w:rPr>
          <w:rFonts w:hint="eastAsia" w:ascii="仿宋" w:hAnsi="仿宋" w:eastAsia="仿宋" w:cs="方正仿宋简体"/>
          <w:sz w:val="32"/>
          <w:szCs w:val="32"/>
        </w:rPr>
        <w:t>。</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（二）项目实施主要内容及实施程序。</w:t>
      </w:r>
    </w:p>
    <w:p>
      <w:pPr>
        <w:keepNext w:val="0"/>
        <w:keepLines w:val="0"/>
        <w:pageBreakBefore w:val="0"/>
        <w:widowControl w:val="0"/>
        <w:kinsoku/>
        <w:wordWrap/>
        <w:overflowPunct/>
        <w:topLinePunct w:val="0"/>
        <w:autoSpaceDE/>
        <w:autoSpaceDN/>
        <w:bidi w:val="0"/>
        <w:adjustRightInd/>
        <w:snapToGrid/>
        <w:spacing w:line="560" w:lineRule="exact"/>
        <w:ind w:firstLine="576"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spacing w:val="-16"/>
          <w:sz w:val="32"/>
          <w:szCs w:val="32"/>
        </w:rPr>
        <w:t>根据</w:t>
      </w:r>
      <w:r>
        <w:rPr>
          <w:rFonts w:hint="eastAsia" w:ascii="仿宋_GB2312" w:hAnsi="仿宋_GB2312" w:eastAsia="仿宋_GB2312" w:cs="仿宋_GB2312"/>
          <w:sz w:val="32"/>
          <w:szCs w:val="32"/>
        </w:rPr>
        <w:t>《中共广东省委办公厅、广东省人民政府办公厅关于印发&lt;广东省加快推进国有企业退休人员社会化管理工作方案&gt;的通知》（粤办发〔2019〕37号）、《韶关市国有企业退休人员社会化管理工作实施方案》（韶办字〔2020〕18号）等文件精神，全面深化国有企业改革，平稳有序推进国有企业退休人员社会化管理，为国有企业公平参与市场竞争创造条件，推动经济社会高质量发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sz w:val="32"/>
          <w:szCs w:val="32"/>
        </w:rPr>
        <w:t>我县严格落实国有企业退休人员社会化管理有关要求</w:t>
      </w:r>
      <w:r>
        <w:rPr>
          <w:rFonts w:hint="eastAsia" w:ascii="仿宋_GB2312" w:hAnsi="仿宋_GB2312" w:eastAsia="仿宋_GB2312" w:cs="仿宋_GB2312"/>
          <w:color w:val="000000"/>
          <w:sz w:val="32"/>
          <w:szCs w:val="32"/>
          <w:lang w:eastAsia="zh-CN"/>
        </w:rPr>
        <w:t>，切实做好国有企业退休人员社会化管理工作常态化移交。</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（三）综述项目自评等级和分数</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自评等级：优，分数9</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分。</w:t>
      </w:r>
    </w:p>
    <w:p>
      <w:pPr>
        <w:spacing w:line="360" w:lineRule="auto"/>
        <w:ind w:firstLine="640" w:firstLineChars="200"/>
        <w:rPr>
          <w:rFonts w:hint="eastAsia" w:ascii="黑体" w:eastAsia="黑体"/>
          <w:sz w:val="32"/>
          <w:szCs w:val="32"/>
        </w:rPr>
      </w:pPr>
    </w:p>
    <w:p>
      <w:pPr>
        <w:spacing w:line="360" w:lineRule="auto"/>
        <w:ind w:firstLine="640" w:firstLineChars="200"/>
        <w:rPr>
          <w:rFonts w:ascii="黑体" w:eastAsia="黑体"/>
          <w:sz w:val="32"/>
          <w:szCs w:val="32"/>
        </w:rPr>
      </w:pPr>
      <w:r>
        <w:rPr>
          <w:rFonts w:hint="eastAsia" w:ascii="黑体" w:eastAsia="黑体"/>
          <w:sz w:val="32"/>
          <w:szCs w:val="32"/>
          <w:lang w:eastAsia="zh-CN"/>
        </w:rPr>
        <w:t>二</w:t>
      </w:r>
      <w:r>
        <w:rPr>
          <w:rFonts w:hint="eastAsia" w:ascii="黑体" w:eastAsia="黑体"/>
          <w:sz w:val="32"/>
          <w:szCs w:val="32"/>
        </w:rPr>
        <w:t>、项目指标完成情况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ind w:firstLine="640"/>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sz w:val="32"/>
          <w:szCs w:val="32"/>
          <w:lang w:eastAsia="zh-CN"/>
        </w:rPr>
        <w:t>国有企业退休人员社会化管理费用</w:t>
      </w:r>
      <w:r>
        <w:rPr>
          <w:rFonts w:hint="eastAsia" w:ascii="方正仿宋简体" w:hAnsi="方正仿宋简体" w:eastAsia="方正仿宋简体" w:cs="方正仿宋简体"/>
          <w:sz w:val="32"/>
          <w:szCs w:val="32"/>
          <w:lang w:eastAsia="zh-CN"/>
        </w:rPr>
        <w:t>年度资金安排</w:t>
      </w:r>
      <w:r>
        <w:rPr>
          <w:rFonts w:hint="eastAsia" w:ascii="仿宋_GB2312" w:hAnsi="仿宋_GB2312" w:eastAsia="仿宋_GB2312"/>
          <w:sz w:val="32"/>
          <w:szCs w:val="32"/>
          <w:lang w:val="en-US" w:eastAsia="zh-CN"/>
        </w:rPr>
        <w:t>130000元，支出123589.03元。资金未支出完成的原因是：</w:t>
      </w:r>
      <w:r>
        <w:rPr>
          <w:rFonts w:hint="eastAsia" w:ascii="仿宋_GB2312" w:hAnsi="仿宋_GB2312" w:eastAsia="仿宋_GB2312" w:cs="仿宋_GB2312"/>
          <w:color w:val="auto"/>
          <w:kern w:val="0"/>
          <w:sz w:val="32"/>
          <w:szCs w:val="32"/>
          <w:lang w:eastAsia="zh-CN"/>
        </w:rPr>
        <w:t>项目资金用于聘请国有其他退休人员社会化管理工作人员薪酬，因人员流动，项目资金支出率未达到100%。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0" w:lef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rPr>
        <w:t>项目的绩效目标完成情况</w:t>
      </w:r>
      <w:r>
        <w:rPr>
          <w:rFonts w:hint="eastAsia" w:ascii="仿宋_GB2312" w:hAnsi="仿宋_GB2312" w:eastAsia="仿宋_GB2312"/>
          <w:sz w:val="32"/>
          <w:szCs w:val="32"/>
          <w:lang w:eastAsia="zh-CN"/>
        </w:rPr>
        <w:t>。</w:t>
      </w:r>
      <w:bookmarkStart w:id="0" w:name="_GoBack"/>
      <w:bookmarkEnd w:id="0"/>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截至2022年底，我局共接收国有退休人员档案数1158人，国企退休人员社会化管理移交率达100%，资金支出及时率100%，项目成本控制率95%，保障国有企业退休人员社会化管理工作有序推进。</w:t>
      </w:r>
    </w:p>
    <w:p>
      <w:pPr>
        <w:ind w:firstLine="64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二、存在问题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sz w:val="32"/>
          <w:szCs w:val="32"/>
          <w:lang w:val="en-US" w:eastAsia="zh-CN"/>
        </w:rPr>
      </w:pPr>
      <w:r>
        <w:rPr>
          <w:rFonts w:hint="eastAsia" w:ascii="仿宋_GB2312" w:hAnsi="宋体" w:eastAsia="仿宋_GB2312" w:cs="宋体"/>
          <w:color w:val="000000"/>
          <w:sz w:val="32"/>
          <w:szCs w:val="32"/>
          <w:lang w:val="en-US" w:eastAsia="zh-CN"/>
        </w:rPr>
        <w:t>国有企业退休人员社会化管理工作管理机制待进一步完善，部分单位仍不够重视，存在档案移交不够及时，材料清单整理不够细致，乡镇开展活动形式比较单一等问题。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三、下一步计划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sz w:val="32"/>
          <w:szCs w:val="32"/>
          <w:lang w:val="en-US" w:eastAsia="zh-CN"/>
        </w:rPr>
      </w:pPr>
      <w:r>
        <w:rPr>
          <w:rFonts w:hint="eastAsia" w:ascii="仿宋_GB2312" w:hAnsi="宋体" w:eastAsia="仿宋_GB2312" w:cs="宋体"/>
          <w:color w:val="000000"/>
          <w:sz w:val="32"/>
          <w:szCs w:val="32"/>
          <w:lang w:val="en-US" w:eastAsia="zh-CN"/>
        </w:rPr>
        <w:t>进一步提高相关单位对国有企业退休人员社会化管理工作的重视程度，加强工作指引，并</w:t>
      </w:r>
      <w:r>
        <w:rPr>
          <w:rFonts w:hint="eastAsia" w:ascii="仿宋_GB2312" w:hAnsi="仿宋_GB2312" w:eastAsia="仿宋_GB2312" w:cs="仿宋_GB2312"/>
          <w:color w:val="000000"/>
          <w:sz w:val="32"/>
          <w:szCs w:val="32"/>
          <w:lang w:val="en-US" w:eastAsia="zh-CN"/>
        </w:rPr>
        <w:t>督促</w:t>
      </w:r>
      <w:r>
        <w:rPr>
          <w:rFonts w:hint="eastAsia" w:ascii="仿宋_GB2312" w:hAnsi="宋体" w:eastAsia="仿宋_GB2312" w:cs="宋体"/>
          <w:color w:val="000000"/>
          <w:sz w:val="32"/>
          <w:szCs w:val="32"/>
          <w:lang w:val="en-US" w:eastAsia="zh-CN"/>
        </w:rPr>
        <w:t>乡镇</w:t>
      </w:r>
      <w:r>
        <w:rPr>
          <w:rFonts w:hint="eastAsia" w:ascii="仿宋_GB2312" w:hAnsi="仿宋_GB2312" w:eastAsia="仿宋_GB2312" w:cs="仿宋_GB2312"/>
          <w:color w:val="000000"/>
          <w:sz w:val="32"/>
          <w:szCs w:val="32"/>
          <w:lang w:val="en-US" w:eastAsia="zh-CN"/>
        </w:rPr>
        <w:t>充分利用现有的组织、人员及活动场所开展多形式的管理服务，</w:t>
      </w:r>
      <w:r>
        <w:rPr>
          <w:rFonts w:hint="eastAsia" w:ascii="仿宋_GB2312" w:hAnsi="宋体" w:eastAsia="仿宋_GB2312" w:cs="宋体"/>
          <w:color w:val="000000"/>
          <w:sz w:val="32"/>
          <w:szCs w:val="32"/>
          <w:lang w:val="en-US" w:eastAsia="zh-CN"/>
        </w:rPr>
        <w:t>确保国企退休人员移交乡镇/社区社会化管理工作落实到位，推进国企退休人员社会化工作顺利开展，保障退休人员享受乡镇/社区提供的相应管理服务</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sz w:val="32"/>
          <w:szCs w:val="32"/>
          <w:lang w:val="en-US" w:eastAsia="zh-CN"/>
        </w:rPr>
      </w:pPr>
    </w:p>
    <w:p>
      <w:pPr>
        <w:ind w:firstLine="640"/>
        <w:rPr>
          <w:rFonts w:hint="eastAsia" w:ascii="黑体" w:hAnsi="黑体" w:eastAsia="黑体" w:cs="黑体"/>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kNjRlMjIwNmQwMzgxYWJkNzVlOTNiZjgzYTMzZWMifQ=="/>
  </w:docVars>
  <w:rsids>
    <w:rsidRoot w:val="00000000"/>
    <w:rsid w:val="16487278"/>
    <w:rsid w:val="221C3A53"/>
    <w:rsid w:val="28691028"/>
    <w:rsid w:val="4AF55205"/>
    <w:rsid w:val="70AE2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 New"/>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787</Words>
  <Characters>810</Characters>
  <Lines>0</Lines>
  <Paragraphs>0</Paragraphs>
  <TotalTime>0</TotalTime>
  <ScaleCrop>false</ScaleCrop>
  <LinksUpToDate>false</LinksUpToDate>
  <CharactersWithSpaces>810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2023-06-07T02:44:12Z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04C08111FC2E45E0901C1B3B72DFA4DD_12</vt:lpwstr>
  </property>
</Properties>
</file>